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39B4946" wp14:paraId="207C2B62" wp14:textId="160E2571">
      <w:pPr>
        <w:spacing w:before="240" w:beforeAutospacing="off" w:after="240" w:afterAutospacing="off"/>
        <w:jc w:val="center"/>
        <w:rPr>
          <w:rFonts w:ascii="Yu Mincho Regular" w:hAnsi="Yu Mincho Regular" w:eastAsia="Yu Mincho Regular" w:cs="Yu Mincho Regular"/>
          <w:b w:val="1"/>
          <w:bCs w:val="1"/>
          <w:noProof w:val="0"/>
          <w:sz w:val="32"/>
          <w:szCs w:val="3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b w:val="1"/>
          <w:bCs w:val="1"/>
          <w:noProof w:val="0"/>
          <w:sz w:val="28"/>
          <w:szCs w:val="28"/>
          <w:lang w:eastAsia="ja-JP"/>
        </w:rPr>
        <w:t>トラネキサム酸内服に関する注意事項</w:t>
      </w:r>
    </w:p>
    <w:p xmlns:wp14="http://schemas.microsoft.com/office/word/2010/wordml" w:rsidP="739B4946" wp14:paraId="2E5A85D6" wp14:textId="2748EDA8">
      <w:pPr>
        <w:spacing w:before="240" w:beforeAutospacing="off" w:after="240" w:afterAutospacing="off"/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トラネキサム酸は、肝斑やシミ、炎症後色素沈着の改善、美白効果などが期待されるお薬ですが、効果や安全性には個人差があります。下記注意事項をよくお読みいただき、ご理解いただいた上で</w:t>
      </w:r>
      <w:r w:rsidRPr="739B4946" w:rsidR="1EC3B93F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内服</w:t>
      </w: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を開始してください。</w:t>
      </w:r>
    </w:p>
    <w:p xmlns:wp14="http://schemas.microsoft.com/office/word/2010/wordml" w:rsidP="739B4946" wp14:paraId="08D485CE" wp14:textId="00527128">
      <w:pPr>
        <w:spacing w:before="240" w:beforeAutospacing="off" w:after="240" w:afterAutospacing="off"/>
      </w:pPr>
      <w:r w:rsidRPr="739B4946" w:rsidR="21342B37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1. 治療の目的と効果</w:t>
      </w:r>
    </w:p>
    <w:p xmlns:wp14="http://schemas.microsoft.com/office/word/2010/wordml" w:rsidP="739B4946" wp14:paraId="050E374A" wp14:textId="327E98C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メラニン生成抑制、抗炎症効果が期待されますが、効果には個人差があり、必ずしもご希望通りの効果が得られるとは限りません。</w:t>
      </w:r>
    </w:p>
    <w:p xmlns:wp14="http://schemas.microsoft.com/office/word/2010/wordml" w:rsidP="739B4946" wp14:paraId="53A7DC1F" wp14:textId="6F78E10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効果実感には数週間～数ヶ月の継続内服が必要です。中止により効果は薄れる可能性があります。</w:t>
      </w:r>
    </w:p>
    <w:p xmlns:wp14="http://schemas.microsoft.com/office/word/2010/wordml" w:rsidP="739B4946" wp14:paraId="0A334759" wp14:textId="268231DB">
      <w:pPr>
        <w:spacing w:before="240" w:beforeAutospacing="off" w:after="240" w:afterAutospacing="off"/>
      </w:pPr>
      <w:r w:rsidRPr="739B4946" w:rsidR="21342B37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2. 診察と処方</w:t>
      </w:r>
    </w:p>
    <w:p xmlns:wp14="http://schemas.microsoft.com/office/word/2010/wordml" w:rsidP="739B4946" wp14:paraId="73CA9F49" wp14:textId="26007E5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安全のため必ず医師の診察を受けてください。既往歴、アレルギー、内服薬を詳しくお伝えください。</w:t>
      </w:r>
    </w:p>
    <w:p xmlns:wp14="http://schemas.microsoft.com/office/word/2010/wordml" w:rsidP="739B4946" wp14:paraId="7D278B8A" wp14:textId="340079D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医師が適切な投与量と期間を決定します。自己判断での変更・中止は避けてください。</w:t>
      </w:r>
    </w:p>
    <w:p xmlns:wp14="http://schemas.microsoft.com/office/word/2010/wordml" w:rsidP="739B4946" wp14:paraId="22E276F7" wp14:textId="482F607E">
      <w:pPr>
        <w:spacing w:before="240" w:beforeAutospacing="off" w:after="240" w:afterAutospacing="off"/>
      </w:pPr>
      <w:r w:rsidRPr="739B4946" w:rsidR="21342B37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3. 費用</w:t>
      </w:r>
    </w:p>
    <w:p xmlns:wp14="http://schemas.microsoft.com/office/word/2010/wordml" w:rsidP="739B4946" wp14:paraId="5A08444F" wp14:textId="3C99C155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自費診療のため保険適用外です。事前に費用をご確認ください。</w:t>
      </w:r>
    </w:p>
    <w:p xmlns:wp14="http://schemas.microsoft.com/office/word/2010/wordml" w:rsidP="739B4946" wp14:paraId="6D9E562E" wp14:textId="7F874176">
      <w:pPr>
        <w:spacing w:before="240" w:beforeAutospacing="off" w:after="240" w:afterAutospacing="off"/>
      </w:pPr>
      <w:r w:rsidRPr="739B4946" w:rsidR="21342B37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4. 副作用</w:t>
      </w:r>
    </w:p>
    <w:p xmlns:wp14="http://schemas.microsoft.com/office/word/2010/wordml" w:rsidP="739B4946" wp14:paraId="2FF2741D" wp14:textId="6859F84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まれに、吐き気、嘔吐、食欲不振、下痢、発疹、かゆみ、眠気、めまい、頭痛などが現れることがあります。症状が現れた場合は直ちに中止し、医師にご</w:t>
      </w:r>
      <w:r w:rsidRPr="739B4946" w:rsidR="11B61ED8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相談</w:t>
      </w: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ください。</w:t>
      </w:r>
    </w:p>
    <w:p xmlns:wp14="http://schemas.microsoft.com/office/word/2010/wordml" w:rsidP="739B4946" wp14:paraId="749DBFC9" wp14:textId="3D798698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062FD11C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ごくまれに血栓症のリスクが報告されています。</w:t>
      </w:r>
      <w:r w:rsidRPr="062FD11C" w:rsidR="23B44816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心筋梗塞や脳梗塞などの</w:t>
      </w:r>
      <w:r w:rsidRPr="062FD11C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血栓症の既往歴、リスク因子（経口避妊薬、喫煙、肥満など）がある方は必ず医師にお申し出ください。</w:t>
      </w:r>
    </w:p>
    <w:p xmlns:wp14="http://schemas.microsoft.com/office/word/2010/wordml" w:rsidP="739B4946" wp14:paraId="0A898816" wp14:textId="0773E339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その他、気になる症状があれば医師・薬剤師にご相談ください。</w:t>
      </w:r>
    </w:p>
    <w:p xmlns:wp14="http://schemas.microsoft.com/office/word/2010/wordml" w:rsidP="739B4946" wp14:paraId="3AF88858" wp14:textId="0E04C075">
      <w:pPr>
        <w:spacing w:before="240" w:beforeAutospacing="off" w:after="240" w:afterAutospacing="off"/>
      </w:pPr>
      <w:r w:rsidRPr="739B4946" w:rsidR="21342B37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5. 服用方法</w:t>
      </w:r>
    </w:p>
    <w:p xmlns:wp14="http://schemas.microsoft.com/office/word/2010/wordml" w:rsidP="739B4946" wp14:paraId="643D0913" wp14:textId="5D576491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医師の指示に従い、用法・用量を守って内服してください。</w:t>
      </w:r>
    </w:p>
    <w:p xmlns:wp14="http://schemas.microsoft.com/office/word/2010/wordml" w:rsidP="739B4946" wp14:paraId="794F326B" wp14:textId="68B84135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飲み忘れに気づいたら次の時間に1回分だけ服用してください。</w:t>
      </w:r>
    </w:p>
    <w:p xmlns:wp14="http://schemas.microsoft.com/office/word/2010/wordml" w:rsidP="739B4946" wp14:paraId="392DBBC7" wp14:textId="0B4C9E80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水またはぬるま湯で服用してください。</w:t>
      </w:r>
    </w:p>
    <w:p xmlns:wp14="http://schemas.microsoft.com/office/word/2010/wordml" w:rsidP="739B4946" wp14:paraId="016DF93F" wp14:textId="1282132C">
      <w:pPr>
        <w:spacing w:before="240" w:beforeAutospacing="off" w:after="240" w:afterAutospacing="off"/>
      </w:pPr>
      <w:r w:rsidRPr="739B4946" w:rsidR="21342B37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6. その他</w:t>
      </w:r>
    </w:p>
    <w:p xmlns:wp14="http://schemas.microsoft.com/office/word/2010/wordml" w:rsidP="739B4946" wp14:paraId="4B1BBDE3" wp14:textId="4600CA85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妊娠中・授乳中の方、妊娠の可能性のある方は必ず医師に相談してください。</w:t>
      </w:r>
    </w:p>
    <w:p xmlns:wp14="http://schemas.microsoft.com/office/word/2010/wordml" w:rsidP="739B4946" wp14:paraId="5BADD4ED" wp14:textId="7DC0CE35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他の治療</w:t>
      </w:r>
      <w:r w:rsidRPr="739B4946" w:rsidR="1CDE364F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で</w:t>
      </w:r>
      <w:r w:rsidRPr="739B4946" w:rsidR="21342B37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お薬を服用している方は必ず医師・薬剤師にお知らせください。</w:t>
      </w:r>
    </w:p>
    <w:sectPr>
      <w:pgSz w:w="11906" w:h="16838" w:orient="portrait"/>
      <w:pgMar w:top="850" w:right="1134" w:bottom="850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33a17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a18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b6e2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9030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e3484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c300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DAF8FD"/>
    <w:rsid w:val="062FD11C"/>
    <w:rsid w:val="11B61ED8"/>
    <w:rsid w:val="1CDE364F"/>
    <w:rsid w:val="1EC3B93F"/>
    <w:rsid w:val="21342B37"/>
    <w:rsid w:val="213DBF52"/>
    <w:rsid w:val="23B44816"/>
    <w:rsid w:val="2D70BBB1"/>
    <w:rsid w:val="48B96017"/>
    <w:rsid w:val="49E16553"/>
    <w:rsid w:val="5AAE7FE6"/>
    <w:rsid w:val="5E59F5F9"/>
    <w:rsid w:val="5EFC3C58"/>
    <w:rsid w:val="61DAF8FD"/>
    <w:rsid w:val="6997FAAE"/>
    <w:rsid w:val="739B4946"/>
    <w:rsid w:val="7A4AF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AF8FD"/>
  <w15:chartTrackingRefBased/>
  <w15:docId w15:val="{42B94B65-493E-4779-B315-184885A5E9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382eef45fd14d1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2025-05-15T23:52:59.9473774Z</dcterms:created>
  <dcterms:modified xsi:type="dcterms:W3CDTF">2025-05-16T03:16:24.0980372Z</dcterms:modified>
  <dc:creator>Clinic Lotus</dc:creator>
  <lastModifiedBy>Clinic Lotus</lastModifiedBy>
</coreProperties>
</file>